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2cbdb8a5b49b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50231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RAZVOJ BRODSKO-POSAVSKE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647.913,86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836.537,65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683.437,62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793.324,95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43.212,70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25.583,56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25.583,56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3.333,20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39.879,50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je višak prihoda poslovanja koji je nastao uplatom sredstva iz državnog proračuna temeljem prijenosa EU sredstava prema Sporazumu i podnesenom Zahtjevu za nadoknadom sredstava. Manjak prihoda od nefinancijske imovine financiran je sredstvima osnivača i pokrit će se evidentiranjem obveznih financijskih korekcija. Preneseni manjak iz rezultata poslovanja za 2024. iznosi 6.515,23 EUR te s rezultatom iz 2025. godine u iznosu od 39.879,50 EUR daje višak poslovanja na kraju izvještajnog razdoblja koji iznosi 33.364,27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29.036,81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bilo prihoda s obzirom da se Ugovor na temelju kojeg su se prihodi ostvarivali realizirao u 2024.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394.943,38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350.383,06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</w:tbl>
    <w:p>
      <w:pPr>
        <w:spacing w:before="0" w:after="0"/>
      </w:pPr>
    </w:p>
    <w:p>
      <w:r>
        <w:t xml:space="preserve">Iskazani iznos se odnosi na prihode od pomoći temeljem prijenosa EU sredstava prema sklopljenom sporazumu i manji je u odnosu na isto razdoblje prethodne godine iz razloga što su u istom razdoblju 2024. godine uplaćeni Zahtjevi za nadoknadom sredstava za potraživane troškove iz 2023.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223.933,67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486.154,59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217,1</w:t>
            </w:r>
          </w:p>
        </w:tc>
      </w:tr>
    </w:tbl>
    <w:p>
      <w:pPr>
        <w:spacing w:before="0" w:after="0"/>
      </w:pPr>
    </w:p>
    <w:p>
      <w:r>
        <w:t xml:space="preserve">Iskazani prihodi se odnose na prihode iz nadležnog proračuna (Brodsko-posavska županija) za financiranje redovne djelatnosti  i veći su u odnosu na isto razdoblje prethodne godine zbog povećanja rashoda za zaposlene i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439.788,39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546.264,23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</w:tbl>
    <w:p>
      <w:pPr>
        <w:spacing w:before="0" w:after="0"/>
      </w:pPr>
    </w:p>
    <w:p>
      <w:r>
        <w:t xml:space="preserve">Iskazani iznos se odnosi na rashode za plaće (bruto) i veći su u odnosu na isto razdoblje prethodne godine zbog većih troškova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38.647,99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48.222,36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r>
        <w:t xml:space="preserve">Iskazani iznos se odnosi na rashode koji se isplaćuju zaposlenima, a odnose se na prigodne godišnje nagrade i isplate prava prema pravilniku.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67.553,16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86.918,96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r>
        <w:t xml:space="preserve">Iskazani iznos se odnosi na rashode za doprinose na plaću i veći su u odnosu na isto razdoblje prethodne godine zbog većih troškova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41.311,19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20.608,28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49,9</w:t>
            </w:r>
          </w:p>
        </w:tc>
      </w:tr>
    </w:tbl>
    <w:p>
      <w:pPr>
        <w:spacing w:before="0" w:after="0"/>
      </w:pPr>
    </w:p>
    <w:p>
      <w:r>
        <w:t xml:space="preserve">Iskazani iznos se odnosi na rashode za službena putovanja, stručno usavršavanje zaposlenika, naknade za prijevoz na posao i s posla. U izvještajnom razdoblju je iskazan manji iznos u odnosu na isto razdoblje prethodne godine iz razloga što u ovome izvještajnom razdoblju nije bilo studijskog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9.162,35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7.259,39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79,2</w:t>
            </w:r>
          </w:p>
        </w:tc>
      </w:tr>
    </w:tbl>
    <w:p>
      <w:pPr>
        <w:spacing w:before="0" w:after="0"/>
      </w:pPr>
    </w:p>
    <w:p>
      <w:r>
        <w:t xml:space="preserve">Iskazani iznos se odnosi na rashode za materijal i energiju i sitni inventar i auto gume, a najvećim dijelom se odnosi na nabavu uredskog materijala. Iznos je manji u odnosu na prethodno razdoblje radi smanjenja rashoda za energiju i sitni inventar i autogume.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60.197,12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60.553,66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</w:tbl>
    <w:p>
      <w:pPr>
        <w:spacing w:before="0" w:after="0"/>
      </w:pPr>
    </w:p>
    <w:p>
      <w:r>
        <w:t xml:space="preserve">Iskazani iznos se odnosi na rashode za usluge i veći su u odnosu na isto razdoblje prethodne godine iz razloga što su povećani troškovi računalnih i ostalih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26.777,28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23.498,05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87,8</w:t>
            </w:r>
          </w:p>
        </w:tc>
      </w:tr>
    </w:tbl>
    <w:p>
      <w:pPr>
        <w:spacing w:before="0" w:after="0"/>
      </w:pPr>
    </w:p>
    <w:p>
      <w:r>
        <w:t xml:space="preserve">Iskazani iznos se odnosi na ostale nespomenute rashode poslovanja koji su manji u odnosu na isto razdoblje prethodne godine. U izvještajnom razdoblju su manji troškovi reprezentacije.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14,3</w:t>
            </w:r>
          </w:p>
        </w:tc>
      </w:tr>
    </w:tbl>
    <w:p>
      <w:pPr>
        <w:spacing w:before="0" w:after="0"/>
      </w:pPr>
    </w:p>
    <w:p>
      <w:r>
        <w:t xml:space="preserve">Rashod se odnosi na trošak zatene kamate na doprinos.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25.583,56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13,0</w:t>
            </w:r>
          </w:p>
        </w:tc>
      </w:tr>
    </w:tbl>
    <w:p>
      <w:pPr>
        <w:spacing w:before="0" w:after="0"/>
      </w:pPr>
    </w:p>
    <w:p>
      <w:r>
        <w:t xml:space="preserve">Rashod se odnosi na nabavu uredske opreme i manji je u odnosu na isto razdoblje prethodne godine s obzirom da u tekućem izvještajnom razdoblju nije bilo nabave komunikacijske opreme i opreme za održavanje i zaštitu.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76.424,43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61.781,73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80,8</w:t>
            </w:r>
          </w:p>
        </w:tc>
      </w:tr>
    </w:tbl>
    <w:p>
      <w:pPr>
        <w:spacing w:before="0" w:after="0"/>
      </w:pPr>
    </w:p>
    <w:p>
      <w:r>
        <w:t xml:space="preserve">Smanjenje vrijednosti imovine se odnosi na provedeni postupak ispravka vrijednosti imovine po propisanim stopama.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513,3</w:t>
            </w:r>
          </w:p>
        </w:tc>
      </w:tr>
    </w:tbl>
    <w:p>
      <w:pPr>
        <w:spacing w:before="0" w:after="0"/>
      </w:pPr>
    </w:p>
    <w:p>
      <w:r>
        <w:t xml:space="preserve">Potraživanje se odnosi na bolovanje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61.713,14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91.478,94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148,2</w:t>
            </w:r>
          </w:p>
        </w:tc>
      </w:tr>
    </w:tbl>
    <w:p>
      <w:pPr>
        <w:spacing w:before="0" w:after="0"/>
      </w:pPr>
    </w:p>
    <w:p>
      <w:r>
        <w:t xml:space="preserve">Iznos se odnosi na naplaćene prihode koji potražujemo od nadležnog proračuna za redovno financiranje.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46.701,22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53.675,47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Povećanje obveza za zaposlene u odnosu na isto razdoblje prethodne godine je rezultat povećanja plaća zaposlenima.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21.527,15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22,6</w:t>
            </w:r>
          </w:p>
        </w:tc>
      </w:tr>
    </w:tbl>
    <w:p>
      <w:pPr>
        <w:spacing w:before="0" w:after="0"/>
      </w:pPr>
    </w:p>
    <w:p>
      <w:r>
        <w:t xml:space="preserve">Smanjenje u odnosu na isto razdoblje prethodne godine je u smanjenju rashoda koji su bili krajem prethodne godine i u plaćanju rashoda do kraja godine te se time ukupna obveza za materijalne rashode smanjila.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Razvoj zajednice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709.021,18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796.658,15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Povećanje se odnosi na povećane ukupne rashode poslovanja cijele institucije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17.975,90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 ispravak vrijednosti imovine koji se prethodne godine nije evidentirao preko konta 915.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Centar za razvoj Brodsko-posavske županije nema dospjelih obveza na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Centar za razvoj Brodsko-posavske županije koristio je sredstva iz Fonda za regionalni razvoj i iz Nacionalnog plana oporavka i otpornosti.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05d8ba81e04db1" /></Relationships>
</file>