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814db4922449d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50231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CENTAR ZA RAZVOJ BRODSKO-POSAVSKE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390.136,32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520.257,80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472.216,51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568.964,67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82.080,19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48.706,87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21.827,63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21.827,63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3.333,20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103.907,82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52.040,07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ostvaren je manjak prihoda poslovanja koji je nastao radi dinamike priljeva sredstava iz državnog proračuna temeljem prijenosa EU sredstava prema Sporazumu, a za koji se zahtjev podnosi u zadnjem kvartalu i koja će sredstva biti raspoloživa do kraja 2025. godine. Manjak prihoda od nefinancijske imovine financiran je sredstvima osnivača i pokrit će se evidentiranjem obveznih financijskih korekcija. Preneseni manjak iz rezultata poslovanja za 2024. iznosi 6.515,23 EUR te s manjkom poslovanja od 52.040,07 EUR na kraju izvještajnog razdoblja ukupni manjak iznosi 58.555,30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29.036,81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nije bilo prihoda s obzirom da se Ugovor na temelju kojeg su se prihodi ostvarivali realizirao u 2024.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223.137,97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175.860,65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prihode od pomoći temeljem prijenosa EU sredstava prema sklopljenom sporazumu i manji je u odnosu na isto razdoblje prethodne godine iz razloga što su u istom razdoblju 2024. godine uplaćeni Zahtjevi za nadoknadom sredstava za potraživane troškove iz 2023.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137.961,54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344.397,15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prihodi se odnose na prihode iz nadležnog proračuna (Brodsko-posavska županija) za financiranje redovne djelatnosti  i veći su u odnosu na isto razdoblje prethodne godine zbog povećanja rashoda za zaposlene i materijalnih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323.222,50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408.965,50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plaće (bruto) i veći su u odnosu na isto razdoblje prethodne godine zbog većih troškova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21.312,04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29.656,17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koji se isplaćuju zaposlenima, a odnose se na prigodne godišnje nagrade i isplate prava prema pravilniku.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49.100,58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64.571,84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doprinose na plaću i veći su u odnosu na isto razdoblje prethodne godine zbog većih troškova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31.662,44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14.003,16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službena putovanja, stručno usavršavanje zaposlenika, naknade za prijevoz na posao i s posla. U izvještajnom razdoblju je iskazan manji iznos u odnosu na isto razdoblje prethodne godine iz razloga što u ovome izvještajnom razdoblju nije bilo studijskog putovanja.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materijal i energiju (šifre 3221 do 3227)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5.252,85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5.560,60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materijal i energiju i sitni inventar i auto gume, a najvećim dijelom se odnosi na nabavu uredskog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29.664,53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37.250,54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rashode za usluge i veći su u odnosu na isto razdoblje prethodne godine iz razloga što su povećani troškovi intelektualnih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12.001,46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8.956,84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Iskazani iznos se odnosi na ostale nespomenute rashode poslovanja koji su manji u odnosu na isto razdoblje prethodne godine. U izvještajnom razdoblju su manji troškovi reprezentacije.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financijski rashodi (šifre 3431 do 3434)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trošak zatezne kamate na doprinos.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21.827,63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3.333,20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 se odnosi na nabavu uredske opreme i manji je u odnosu na isto razdoblje prethodne godine s obzirom da u tekućem izvještajnom razdoblju nije bilo nabave komunikacijske opreme.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c4e4927a864312" /></Relationships>
</file>